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3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bäudereinigungsleistungen (Unterhalt- und Glasreinigung) für Objekte der Stadtbildpflege Kaiserslauter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reinigungsleistungen (Unterhalt- und Glasreinigung) für Objekte der Stadtbildpflege Kaiserslautern 2026 - 2030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